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35897" w:rsidP="00601AC7" w:rsidRDefault="003C79BF" w14:paraId="79D14127" w14:textId="18F2285F">
      <w:pPr>
        <w:pStyle w:val="Default"/>
        <w:jc w:val="center"/>
        <w:rPr>
          <w:noProof/>
          <w:sz w:val="28"/>
          <w:szCs w:val="28"/>
          <w:lang w:eastAsia="en-GB"/>
        </w:rPr>
      </w:pPr>
      <w:r w:rsidRPr="00CF0102">
        <w:rPr>
          <w:noProof/>
          <w:sz w:val="22"/>
          <w:szCs w:val="22"/>
        </w:rPr>
        <w:drawing>
          <wp:anchor distT="0" distB="0" distL="114300" distR="114300" simplePos="0" relativeHeight="251658240" behindDoc="0" locked="0" layoutInCell="1" allowOverlap="1" wp14:anchorId="5412A60E" wp14:editId="4462AF76">
            <wp:simplePos x="0" y="0"/>
            <wp:positionH relativeFrom="column">
              <wp:posOffset>2095500</wp:posOffset>
            </wp:positionH>
            <wp:positionV relativeFrom="paragraph">
              <wp:posOffset>1270</wp:posOffset>
            </wp:positionV>
            <wp:extent cx="1276350" cy="1247775"/>
            <wp:effectExtent l="0" t="0" r="0" b="9525"/>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E14" w:rsidP="00601AC7" w:rsidRDefault="00A24E14" w14:paraId="6BBD6B41" w14:textId="137704B6">
      <w:pPr>
        <w:pStyle w:val="Default"/>
        <w:jc w:val="center"/>
        <w:rPr>
          <w:noProof/>
          <w:sz w:val="28"/>
          <w:szCs w:val="28"/>
          <w:lang w:eastAsia="en-GB"/>
        </w:rPr>
      </w:pPr>
      <w:r>
        <w:rPr>
          <w:noProof/>
          <w:sz w:val="28"/>
          <w:szCs w:val="28"/>
          <w:lang w:eastAsia="en-GB"/>
        </w:rPr>
        <w:t>VACANCY</w:t>
      </w:r>
    </w:p>
    <w:p w:rsidRPr="00366D72" w:rsidR="006D2A5E" w:rsidP="00635897" w:rsidRDefault="006D2A5E" w14:paraId="5CC880A4" w14:textId="77777777">
      <w:pPr>
        <w:pStyle w:val="Default"/>
        <w:rPr>
          <w:vertAlign w:val="subscript"/>
        </w:rPr>
      </w:pPr>
    </w:p>
    <w:p w:rsidRPr="00635897" w:rsidR="00635897" w:rsidP="00CE67D9" w:rsidRDefault="00E025F1" w14:paraId="12FC004D" w14:textId="454D755A">
      <w:pPr>
        <w:pStyle w:val="Default"/>
        <w:jc w:val="center"/>
        <w:rPr>
          <w:sz w:val="32"/>
          <w:szCs w:val="32"/>
        </w:rPr>
      </w:pPr>
      <w:r>
        <w:rPr>
          <w:b/>
          <w:bCs/>
          <w:sz w:val="32"/>
          <w:szCs w:val="32"/>
        </w:rPr>
        <w:t xml:space="preserve">The Stoller Hall – </w:t>
      </w:r>
      <w:r w:rsidR="00983E70">
        <w:rPr>
          <w:b/>
          <w:bCs/>
          <w:sz w:val="32"/>
          <w:szCs w:val="32"/>
        </w:rPr>
        <w:t xml:space="preserve">Senior </w:t>
      </w:r>
      <w:r w:rsidR="002453EB">
        <w:rPr>
          <w:b/>
          <w:bCs/>
          <w:sz w:val="32"/>
          <w:szCs w:val="32"/>
        </w:rPr>
        <w:t xml:space="preserve">Venue Technician </w:t>
      </w:r>
    </w:p>
    <w:p w:rsidR="009C612A" w:rsidP="00C70641" w:rsidRDefault="009C612A" w14:paraId="68A452F3" w14:textId="77777777">
      <w:pPr>
        <w:rPr>
          <w:rFonts w:ascii="Verdana" w:hAnsi="Verdana"/>
        </w:rPr>
      </w:pPr>
    </w:p>
    <w:p w:rsidR="009C612A" w:rsidP="00CE67D9" w:rsidRDefault="009C612A" w14:paraId="030F3156" w14:textId="77777777">
      <w:pPr>
        <w:ind w:left="2880" w:firstLine="720"/>
        <w:rPr>
          <w:rFonts w:ascii="Verdana" w:hAnsi="Verdana"/>
        </w:rPr>
      </w:pPr>
    </w:p>
    <w:p w:rsidR="1D64B8DA" w:rsidP="2DB9E491" w:rsidRDefault="1D64B8DA" w14:paraId="29E205D9" w14:textId="366F2768">
      <w:pPr>
        <w:pStyle w:val="Normal"/>
        <w:bidi w:val="0"/>
        <w:spacing w:before="0" w:beforeAutospacing="off" w:after="0" w:afterAutospacing="off" w:line="259" w:lineRule="auto"/>
        <w:ind w:left="0" w:right="0"/>
        <w:jc w:val="center"/>
      </w:pPr>
      <w:r w:rsidRPr="2DB9E491" w:rsidR="1D64B8DA">
        <w:rPr>
          <w:rFonts w:ascii="Verdana" w:hAnsi="Verdana"/>
          <w:b w:val="1"/>
          <w:bCs w:val="1"/>
        </w:rPr>
        <w:t>Zero hours</w:t>
      </w:r>
    </w:p>
    <w:p w:rsidRPr="00A07D0A" w:rsidR="00CE67D9" w:rsidP="00306A14" w:rsidRDefault="00CE67D9" w14:paraId="7FCAC6FC" w14:textId="1144516E">
      <w:pPr>
        <w:jc w:val="center"/>
        <w:rPr>
          <w:rFonts w:ascii="Verdana" w:hAnsi="Verdana"/>
          <w:b/>
        </w:rPr>
      </w:pPr>
    </w:p>
    <w:p w:rsidR="006C5931" w:rsidP="2DB9E491" w:rsidRDefault="006C5931" w14:paraId="4062DB7B" w14:textId="522FA7B5">
      <w:pPr>
        <w:pStyle w:val="Normal"/>
        <w:bidi w:val="0"/>
        <w:spacing w:before="0" w:beforeAutospacing="off" w:after="0" w:afterAutospacing="off" w:line="259" w:lineRule="auto"/>
        <w:ind w:left="0" w:right="0"/>
        <w:jc w:val="center"/>
        <w:rPr>
          <w:rFonts w:ascii="Verdana" w:hAnsi="Verdana"/>
        </w:rPr>
      </w:pPr>
      <w:r w:rsidRPr="2DB9E491" w:rsidR="006C5931">
        <w:rPr>
          <w:rFonts w:ascii="Verdana" w:hAnsi="Verdana"/>
          <w:b w:val="1"/>
          <w:bCs w:val="1"/>
        </w:rPr>
        <w:t xml:space="preserve">Salary: </w:t>
      </w:r>
      <w:r w:rsidRPr="2DB9E491" w:rsidR="00BD508D">
        <w:rPr>
          <w:rFonts w:ascii="Verdana" w:hAnsi="Verdana"/>
          <w:b w:val="1"/>
          <w:bCs w:val="1"/>
        </w:rPr>
        <w:t>£</w:t>
      </w:r>
      <w:r w:rsidRPr="2DB9E491" w:rsidR="59F6317E">
        <w:rPr>
          <w:rFonts w:ascii="Verdana" w:hAnsi="Verdana"/>
          <w:b w:val="1"/>
          <w:bCs w:val="1"/>
        </w:rPr>
        <w:t>11.98 per hour</w:t>
      </w:r>
    </w:p>
    <w:p w:rsidR="00CE67D9" w:rsidP="00CE67D9" w:rsidRDefault="00CE67D9" w14:paraId="617DA835" w14:textId="77777777">
      <w:pPr>
        <w:jc w:val="center"/>
        <w:rPr>
          <w:rFonts w:ascii="Verdana" w:hAnsi="Verdana"/>
          <w:sz w:val="22"/>
          <w:szCs w:val="22"/>
        </w:rPr>
      </w:pPr>
    </w:p>
    <w:p w:rsidRPr="006E7F93" w:rsidR="006E7F93" w:rsidP="006E7F93" w:rsidRDefault="006E7F93" w14:paraId="2CAAEDEB" w14:textId="77777777">
      <w:pPr>
        <w:autoSpaceDE w:val="0"/>
        <w:autoSpaceDN w:val="0"/>
        <w:adjustRightInd w:val="0"/>
        <w:jc w:val="both"/>
        <w:rPr>
          <w:rFonts w:ascii="Verdana" w:hAnsi="Verdana" w:eastAsia="Calibri" w:cs="Arial"/>
          <w:color w:val="000000"/>
          <w:sz w:val="20"/>
          <w:szCs w:val="20"/>
        </w:rPr>
      </w:pPr>
    </w:p>
    <w:p w:rsidRPr="00F85F12" w:rsidR="004759E2" w:rsidP="75F912F9" w:rsidRDefault="00F85F12" w14:paraId="332D1793" w14:textId="4EDDD8F4" w14:noSpellErr="1">
      <w:pPr>
        <w:autoSpaceDE w:val="0"/>
        <w:autoSpaceDN w:val="0"/>
        <w:adjustRightInd w:val="0"/>
        <w:ind w:left="720"/>
        <w:jc w:val="both"/>
        <w:rPr>
          <w:rFonts w:ascii="Verdana" w:hAnsi="Verdana"/>
          <w:sz w:val="22"/>
          <w:szCs w:val="22"/>
        </w:rPr>
      </w:pPr>
      <w:r w:rsidRPr="75F912F9" w:rsidR="00F85F12">
        <w:rPr>
          <w:rFonts w:ascii="Verdana" w:hAnsi="Verdana"/>
          <w:sz w:val="22"/>
          <w:szCs w:val="22"/>
        </w:rPr>
        <w:t>The Stoller Hall is an intimate concert hall in the heart of Manchester. Our world class acoustics along with our diverse programme help create unforgettable live music experiences for people of every age and all walks of life. Opened in 2017 we are linked to Chetham’s School of Music, the UK’s largest specialist music school</w:t>
      </w:r>
    </w:p>
    <w:p w:rsidRPr="00306A14" w:rsidR="00F85F12" w:rsidP="75F912F9" w:rsidRDefault="00F85F12" w14:paraId="2FD8E973" w14:textId="77777777" w14:noSpellErr="1">
      <w:pPr>
        <w:autoSpaceDE w:val="0"/>
        <w:autoSpaceDN w:val="0"/>
        <w:adjustRightInd w:val="0"/>
        <w:ind w:left="720"/>
        <w:jc w:val="both"/>
        <w:rPr>
          <w:rFonts w:ascii="Verdana" w:hAnsi="Verdana" w:eastAsia="Calibri" w:cs="Arial"/>
          <w:sz w:val="22"/>
          <w:szCs w:val="22"/>
        </w:rPr>
      </w:pPr>
    </w:p>
    <w:p w:rsidRPr="008F624B" w:rsidR="008F624B" w:rsidP="75F912F9" w:rsidRDefault="008F624B" w14:paraId="5079BBAC" w14:textId="77777777" w14:noSpellErr="1">
      <w:pPr>
        <w:ind w:left="720"/>
        <w:jc w:val="both"/>
        <w:rPr>
          <w:sz w:val="22"/>
          <w:szCs w:val="22"/>
        </w:rPr>
      </w:pPr>
      <w:r w:rsidRPr="75F912F9" w:rsidR="008F624B">
        <w:rPr>
          <w:rFonts w:ascii="Verdana" w:hAnsi="Verdana" w:cs="Arial"/>
          <w:sz w:val="22"/>
          <w:szCs w:val="22"/>
        </w:rPr>
        <w:t xml:space="preserve">The Senior Venue Technician will work closely with </w:t>
      </w:r>
      <w:r w:rsidRPr="75F912F9" w:rsidR="008F624B">
        <w:rPr>
          <w:rFonts w:ascii="Verdana" w:hAnsi="Verdana"/>
          <w:sz w:val="22"/>
          <w:szCs w:val="22"/>
        </w:rPr>
        <w:t xml:space="preserve">the Technical Manager to ensure the effective delivery of all performances, events and conferences at The Stoller Hall and our other performance spaces across the site, including pop-up events in the Courtyard and Atrium.  </w:t>
      </w:r>
      <w:r w:rsidRPr="75F912F9" w:rsidR="008F624B">
        <w:rPr>
          <w:rFonts w:ascii="Verdana" w:hAnsi="Verdana" w:cs="Arial"/>
          <w:sz w:val="22"/>
          <w:szCs w:val="22"/>
        </w:rPr>
        <w:t xml:space="preserve">They will manage the stage, technical and operational aspects of the concerts and events and deputise for the Technical Manager, acting as lead contact for visiting artists and clients on the day as required. </w:t>
      </w:r>
      <w:r w:rsidRPr="75F912F9" w:rsidR="008F624B">
        <w:rPr>
          <w:rFonts w:ascii="Verdana" w:hAnsi="Verdana"/>
          <w:sz w:val="22"/>
          <w:szCs w:val="22"/>
        </w:rPr>
        <w:t>They will prepare, rig and operate sound, lighting, audio-visual, projection and staging equipment as required, liaising with visiting artists, promoters and clients as well as members of Staff.</w:t>
      </w:r>
    </w:p>
    <w:p w:rsidR="00096689" w:rsidP="009E007F" w:rsidRDefault="00096689" w14:paraId="0ED3C7B0" w14:textId="6DA057BE">
      <w:pPr>
        <w:jc w:val="both"/>
        <w:rPr>
          <w:rFonts w:ascii="Verdana" w:hAnsi="Verdana"/>
          <w:sz w:val="22"/>
          <w:szCs w:val="22"/>
        </w:rPr>
      </w:pPr>
    </w:p>
    <w:p w:rsidRPr="004C11A1" w:rsidR="004759E2" w:rsidP="004759E2" w:rsidRDefault="004759E2" w14:paraId="46A67B64" w14:textId="77777777">
      <w:pPr>
        <w:pStyle w:val="Default"/>
        <w:jc w:val="both"/>
        <w:rPr>
          <w:color w:val="FF0000"/>
          <w:sz w:val="22"/>
          <w:szCs w:val="22"/>
        </w:rPr>
      </w:pPr>
    </w:p>
    <w:p w:rsidRPr="004C11A1" w:rsidR="004759E2" w:rsidP="006E7F93" w:rsidRDefault="004759E2" w14:paraId="7BD892BA" w14:textId="77777777">
      <w:pPr>
        <w:ind w:right="-86"/>
        <w:jc w:val="both"/>
        <w:rPr>
          <w:rFonts w:ascii="Verdana" w:hAnsi="Verdana" w:cs="Arial"/>
          <w:sz w:val="22"/>
          <w:szCs w:val="22"/>
        </w:rPr>
      </w:pPr>
    </w:p>
    <w:p w:rsidR="004C11A1" w:rsidP="004C11A1" w:rsidRDefault="004C11A1" w14:paraId="491DCEB0" w14:textId="57C2B2CA">
      <w:pPr>
        <w:pStyle w:val="Default"/>
        <w:jc w:val="center"/>
        <w:rPr>
          <w:sz w:val="22"/>
          <w:szCs w:val="22"/>
        </w:rPr>
      </w:pPr>
      <w:r>
        <w:rPr>
          <w:sz w:val="22"/>
          <w:szCs w:val="22"/>
        </w:rPr>
        <w:t>Please return all documents to</w:t>
      </w:r>
    </w:p>
    <w:p w:rsidRPr="00064D3E" w:rsidR="004C11A1" w:rsidP="004C11A1" w:rsidRDefault="00A83085" w14:paraId="178F0870" w14:textId="2961A6C6">
      <w:pPr>
        <w:pStyle w:val="Default"/>
        <w:jc w:val="center"/>
        <w:rPr>
          <w:sz w:val="22"/>
          <w:szCs w:val="22"/>
        </w:rPr>
      </w:pPr>
      <w:r>
        <w:rPr>
          <w:sz w:val="22"/>
          <w:szCs w:val="22"/>
        </w:rPr>
        <w:t>The Stoller Hall HR Department</w:t>
      </w:r>
      <w:r w:rsidR="004C11A1">
        <w:rPr>
          <w:sz w:val="22"/>
          <w:szCs w:val="22"/>
        </w:rPr>
        <w:t xml:space="preserve"> </w:t>
      </w:r>
      <w:hyperlink w:history="1" r:id="rId8">
        <w:r w:rsidRPr="00E2032D">
          <w:rPr>
            <w:rStyle w:val="Hyperlink"/>
            <w:sz w:val="22"/>
            <w:szCs w:val="22"/>
          </w:rPr>
          <w:t>StollerHR@chethams.com</w:t>
        </w:r>
      </w:hyperlink>
      <w:r w:rsidR="004C11A1">
        <w:rPr>
          <w:sz w:val="22"/>
          <w:szCs w:val="22"/>
        </w:rPr>
        <w:t xml:space="preserve"> </w:t>
      </w:r>
    </w:p>
    <w:p w:rsidR="004C11A1" w:rsidP="004C11A1" w:rsidRDefault="004C11A1" w14:paraId="654363A3" w14:textId="77777777">
      <w:pPr>
        <w:pStyle w:val="Default"/>
        <w:rPr>
          <w:b/>
        </w:rPr>
      </w:pPr>
    </w:p>
    <w:p w:rsidRPr="004C11A1" w:rsidR="00C70641" w:rsidP="00C70641" w:rsidRDefault="00C70641" w14:paraId="2FCEACC6" w14:textId="77777777">
      <w:pPr>
        <w:pStyle w:val="Default"/>
        <w:rPr>
          <w:sz w:val="22"/>
          <w:szCs w:val="22"/>
        </w:rPr>
      </w:pPr>
    </w:p>
    <w:p w:rsidRPr="00876A04" w:rsidR="00C70641" w:rsidP="2DB9E491" w:rsidRDefault="00F26B7D" w14:paraId="26C6E4EC" w14:textId="7B1C4854">
      <w:pPr>
        <w:pStyle w:val="Default"/>
        <w:jc w:val="center"/>
        <w:rPr>
          <w:b w:val="1"/>
          <w:bCs w:val="1"/>
          <w:color w:val="auto"/>
          <w:sz w:val="22"/>
          <w:szCs w:val="22"/>
        </w:rPr>
      </w:pPr>
      <w:r w:rsidRPr="6DEFE0CF" w:rsidR="00F26B7D">
        <w:rPr>
          <w:b w:val="1"/>
          <w:bCs w:val="1"/>
          <w:color w:val="auto"/>
          <w:sz w:val="22"/>
          <w:szCs w:val="22"/>
        </w:rPr>
        <w:t xml:space="preserve">Application deadline: </w:t>
      </w:r>
      <w:r w:rsidRPr="6DEFE0CF" w:rsidR="716B70DE">
        <w:rPr>
          <w:b w:val="1"/>
          <w:bCs w:val="1"/>
          <w:color w:val="auto"/>
          <w:sz w:val="22"/>
          <w:szCs w:val="22"/>
        </w:rPr>
        <w:t xml:space="preserve">Friday </w:t>
      </w:r>
      <w:r w:rsidRPr="6DEFE0CF" w:rsidR="058C3FF2">
        <w:rPr>
          <w:b w:val="1"/>
          <w:bCs w:val="1"/>
          <w:color w:val="auto"/>
          <w:sz w:val="22"/>
          <w:szCs w:val="22"/>
        </w:rPr>
        <w:t>29</w:t>
      </w:r>
      <w:r w:rsidRPr="6DEFE0CF" w:rsidR="058C3FF2">
        <w:rPr>
          <w:b w:val="1"/>
          <w:bCs w:val="1"/>
          <w:color w:val="auto"/>
          <w:sz w:val="22"/>
          <w:szCs w:val="22"/>
          <w:vertAlign w:val="superscript"/>
        </w:rPr>
        <w:t>th</w:t>
      </w:r>
      <w:r w:rsidRPr="6DEFE0CF" w:rsidR="058C3FF2">
        <w:rPr>
          <w:b w:val="1"/>
          <w:bCs w:val="1"/>
          <w:color w:val="auto"/>
          <w:sz w:val="22"/>
          <w:szCs w:val="22"/>
        </w:rPr>
        <w:t xml:space="preserve"> September 2023</w:t>
      </w:r>
    </w:p>
    <w:p w:rsidRPr="00876A04" w:rsidR="00BD6098" w:rsidP="00CE67D9" w:rsidRDefault="00BD6098" w14:paraId="37490608" w14:textId="77777777">
      <w:pPr>
        <w:pStyle w:val="Default"/>
        <w:jc w:val="center"/>
        <w:rPr>
          <w:b/>
          <w:color w:val="auto"/>
          <w:sz w:val="22"/>
          <w:szCs w:val="22"/>
        </w:rPr>
      </w:pPr>
    </w:p>
    <w:p w:rsidRPr="00146C57" w:rsidR="005142CF" w:rsidP="2DB9E491" w:rsidRDefault="005142CF" w14:paraId="4D0C8E62" w14:textId="5D9E5184">
      <w:pPr>
        <w:pStyle w:val="Default"/>
        <w:jc w:val="center"/>
        <w:rPr>
          <w:b w:val="1"/>
          <w:bCs w:val="1"/>
          <w:color w:val="auto"/>
          <w:sz w:val="22"/>
          <w:szCs w:val="22"/>
        </w:rPr>
      </w:pPr>
      <w:r w:rsidRPr="6DEFE0CF" w:rsidR="00635897">
        <w:rPr>
          <w:b w:val="1"/>
          <w:bCs w:val="1"/>
          <w:color w:val="auto"/>
          <w:sz w:val="22"/>
          <w:szCs w:val="22"/>
        </w:rPr>
        <w:t xml:space="preserve">Interviews: </w:t>
      </w:r>
      <w:r w:rsidRPr="6DEFE0CF" w:rsidR="00FF5BE7">
        <w:rPr>
          <w:b w:val="1"/>
          <w:bCs w:val="1"/>
          <w:color w:val="auto"/>
          <w:sz w:val="22"/>
          <w:szCs w:val="22"/>
        </w:rPr>
        <w:t xml:space="preserve">Week </w:t>
      </w:r>
      <w:r w:rsidRPr="6DEFE0CF" w:rsidR="00FF5BE7">
        <w:rPr>
          <w:b w:val="1"/>
          <w:bCs w:val="1"/>
          <w:color w:val="auto"/>
          <w:sz w:val="22"/>
          <w:szCs w:val="22"/>
        </w:rPr>
        <w:t>commencing</w:t>
      </w:r>
      <w:r w:rsidRPr="6DEFE0CF" w:rsidR="00FF5BE7">
        <w:rPr>
          <w:b w:val="1"/>
          <w:bCs w:val="1"/>
          <w:color w:val="auto"/>
          <w:sz w:val="22"/>
          <w:szCs w:val="22"/>
        </w:rPr>
        <w:t xml:space="preserve"> </w:t>
      </w:r>
      <w:r w:rsidRPr="6DEFE0CF" w:rsidR="79DF66C1">
        <w:rPr>
          <w:b w:val="1"/>
          <w:bCs w:val="1"/>
          <w:color w:val="auto"/>
          <w:sz w:val="22"/>
          <w:szCs w:val="22"/>
        </w:rPr>
        <w:t xml:space="preserve">Monday </w:t>
      </w:r>
      <w:r w:rsidRPr="6DEFE0CF" w:rsidR="05E2B333">
        <w:rPr>
          <w:b w:val="1"/>
          <w:bCs w:val="1"/>
          <w:color w:val="auto"/>
          <w:sz w:val="22"/>
          <w:szCs w:val="22"/>
        </w:rPr>
        <w:t>2</w:t>
      </w:r>
      <w:r w:rsidRPr="6DEFE0CF" w:rsidR="05E2B333">
        <w:rPr>
          <w:b w:val="1"/>
          <w:bCs w:val="1"/>
          <w:color w:val="auto"/>
          <w:sz w:val="22"/>
          <w:szCs w:val="22"/>
          <w:vertAlign w:val="superscript"/>
        </w:rPr>
        <w:t>nd</w:t>
      </w:r>
      <w:r w:rsidRPr="6DEFE0CF" w:rsidR="05E2B333">
        <w:rPr>
          <w:b w:val="1"/>
          <w:bCs w:val="1"/>
          <w:color w:val="auto"/>
          <w:sz w:val="22"/>
          <w:szCs w:val="22"/>
        </w:rPr>
        <w:t xml:space="preserve"> October 2023</w:t>
      </w:r>
    </w:p>
    <w:p w:rsidR="00CE67D9" w:rsidP="00F26B7D" w:rsidRDefault="00CE67D9" w14:paraId="75BF1E77" w14:textId="77777777">
      <w:pPr>
        <w:pStyle w:val="Default"/>
        <w:jc w:val="center"/>
        <w:rPr>
          <w:sz w:val="22"/>
          <w:szCs w:val="22"/>
        </w:rPr>
      </w:pPr>
    </w:p>
    <w:p w:rsidRPr="004C11A1" w:rsidR="00635897" w:rsidP="00F26B7D" w:rsidRDefault="00635897" w14:paraId="4000A567" w14:textId="77777777">
      <w:pPr>
        <w:pStyle w:val="Default"/>
        <w:jc w:val="center"/>
        <w:rPr>
          <w:sz w:val="20"/>
          <w:szCs w:val="18"/>
        </w:rPr>
      </w:pPr>
      <w:r w:rsidRPr="004C11A1">
        <w:rPr>
          <w:sz w:val="20"/>
          <w:szCs w:val="18"/>
        </w:rPr>
        <w:t>Chetham’s is committed to safeguarding and promoting the</w:t>
      </w:r>
    </w:p>
    <w:p w:rsidRPr="004C11A1" w:rsidR="00635897" w:rsidP="00F26B7D" w:rsidRDefault="00635897" w14:paraId="73D64917" w14:textId="77777777">
      <w:pPr>
        <w:pStyle w:val="Default"/>
        <w:jc w:val="center"/>
        <w:rPr>
          <w:sz w:val="20"/>
          <w:szCs w:val="18"/>
        </w:rPr>
      </w:pPr>
      <w:r w:rsidRPr="004C11A1">
        <w:rPr>
          <w:sz w:val="20"/>
          <w:szCs w:val="18"/>
        </w:rPr>
        <w:t>welfare of children; applicants must be willing to undergo</w:t>
      </w:r>
    </w:p>
    <w:p w:rsidRPr="004C11A1" w:rsidR="00635897" w:rsidP="00F26B7D" w:rsidRDefault="00635897" w14:paraId="7EBEEE0A" w14:textId="77777777">
      <w:pPr>
        <w:pStyle w:val="Default"/>
        <w:jc w:val="center"/>
        <w:rPr>
          <w:sz w:val="20"/>
          <w:szCs w:val="18"/>
        </w:rPr>
      </w:pPr>
      <w:r w:rsidRPr="004C11A1">
        <w:rPr>
          <w:sz w:val="20"/>
          <w:szCs w:val="18"/>
        </w:rPr>
        <w:t>child protection screening including checks with past employers</w:t>
      </w:r>
    </w:p>
    <w:p w:rsidRPr="004C11A1" w:rsidR="00DC3E86" w:rsidP="00F26B7D" w:rsidRDefault="00635897" w14:paraId="7DBEEB0B" w14:textId="77777777">
      <w:pPr>
        <w:jc w:val="center"/>
        <w:rPr>
          <w:rFonts w:ascii="Verdana" w:hAnsi="Verdana"/>
          <w:sz w:val="20"/>
          <w:szCs w:val="18"/>
        </w:rPr>
      </w:pPr>
      <w:r w:rsidRPr="004C11A1">
        <w:rPr>
          <w:rFonts w:ascii="Verdana" w:hAnsi="Verdana"/>
          <w:sz w:val="20"/>
          <w:szCs w:val="18"/>
        </w:rPr>
        <w:t xml:space="preserve">and the </w:t>
      </w:r>
      <w:r w:rsidRPr="004C11A1" w:rsidR="00C70641">
        <w:rPr>
          <w:rFonts w:ascii="Verdana" w:hAnsi="Verdana"/>
          <w:sz w:val="20"/>
          <w:szCs w:val="18"/>
        </w:rPr>
        <w:t>Disclosure and Barring Service</w:t>
      </w:r>
      <w:r w:rsidRPr="004C11A1">
        <w:rPr>
          <w:rFonts w:ascii="Verdana" w:hAnsi="Verdana"/>
          <w:sz w:val="20"/>
          <w:szCs w:val="18"/>
        </w:rPr>
        <w:t>. Reg. Charity No: 526702</w:t>
      </w:r>
    </w:p>
    <w:sectPr w:rsidRPr="004C11A1" w:rsidR="00DC3E86" w:rsidSect="009B5AA8">
      <w:pgSz w:w="11906" w:h="16838" w:orient="portrait"/>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97"/>
    <w:rsid w:val="00051CAB"/>
    <w:rsid w:val="00096689"/>
    <w:rsid w:val="000A0E88"/>
    <w:rsid w:val="000A70CA"/>
    <w:rsid w:val="000E73EC"/>
    <w:rsid w:val="0011255F"/>
    <w:rsid w:val="00136FC5"/>
    <w:rsid w:val="00146C57"/>
    <w:rsid w:val="00151295"/>
    <w:rsid w:val="001B7736"/>
    <w:rsid w:val="001F1E40"/>
    <w:rsid w:val="00213777"/>
    <w:rsid w:val="00217AB4"/>
    <w:rsid w:val="002453EB"/>
    <w:rsid w:val="002503FC"/>
    <w:rsid w:val="00251069"/>
    <w:rsid w:val="0026098F"/>
    <w:rsid w:val="002B79E5"/>
    <w:rsid w:val="002E726D"/>
    <w:rsid w:val="00306A14"/>
    <w:rsid w:val="003456D1"/>
    <w:rsid w:val="0036532E"/>
    <w:rsid w:val="00366D72"/>
    <w:rsid w:val="003767D3"/>
    <w:rsid w:val="003B4FAA"/>
    <w:rsid w:val="003C79BF"/>
    <w:rsid w:val="003D562E"/>
    <w:rsid w:val="003E224F"/>
    <w:rsid w:val="00425D6B"/>
    <w:rsid w:val="00446044"/>
    <w:rsid w:val="00462811"/>
    <w:rsid w:val="004759E2"/>
    <w:rsid w:val="004C11A1"/>
    <w:rsid w:val="004E75F5"/>
    <w:rsid w:val="00510B2C"/>
    <w:rsid w:val="005142CF"/>
    <w:rsid w:val="00595BC6"/>
    <w:rsid w:val="005E4BBB"/>
    <w:rsid w:val="00601AC7"/>
    <w:rsid w:val="00603E6E"/>
    <w:rsid w:val="00635897"/>
    <w:rsid w:val="006A74F7"/>
    <w:rsid w:val="006B422A"/>
    <w:rsid w:val="006C2203"/>
    <w:rsid w:val="006C5931"/>
    <w:rsid w:val="006D2A5E"/>
    <w:rsid w:val="006E7F93"/>
    <w:rsid w:val="006F1FDA"/>
    <w:rsid w:val="00701FF9"/>
    <w:rsid w:val="0070600A"/>
    <w:rsid w:val="0071775B"/>
    <w:rsid w:val="00736E32"/>
    <w:rsid w:val="0073720A"/>
    <w:rsid w:val="00773D27"/>
    <w:rsid w:val="007740B2"/>
    <w:rsid w:val="00786EEB"/>
    <w:rsid w:val="00786FB6"/>
    <w:rsid w:val="007A39E5"/>
    <w:rsid w:val="007A55B4"/>
    <w:rsid w:val="007F3D03"/>
    <w:rsid w:val="008038F4"/>
    <w:rsid w:val="0082433E"/>
    <w:rsid w:val="00845320"/>
    <w:rsid w:val="008571CC"/>
    <w:rsid w:val="008672F3"/>
    <w:rsid w:val="00876A04"/>
    <w:rsid w:val="008F624B"/>
    <w:rsid w:val="008F774A"/>
    <w:rsid w:val="00900588"/>
    <w:rsid w:val="0090317E"/>
    <w:rsid w:val="00906C9D"/>
    <w:rsid w:val="00922F80"/>
    <w:rsid w:val="00926491"/>
    <w:rsid w:val="009554B1"/>
    <w:rsid w:val="00983E70"/>
    <w:rsid w:val="0099033D"/>
    <w:rsid w:val="009906ED"/>
    <w:rsid w:val="009B5AA8"/>
    <w:rsid w:val="009C612A"/>
    <w:rsid w:val="009E007F"/>
    <w:rsid w:val="00A06EDA"/>
    <w:rsid w:val="00A07D0A"/>
    <w:rsid w:val="00A24E14"/>
    <w:rsid w:val="00A763A5"/>
    <w:rsid w:val="00A83085"/>
    <w:rsid w:val="00A858DB"/>
    <w:rsid w:val="00A863AC"/>
    <w:rsid w:val="00AD5772"/>
    <w:rsid w:val="00B5161B"/>
    <w:rsid w:val="00B51FF9"/>
    <w:rsid w:val="00B60132"/>
    <w:rsid w:val="00B643C8"/>
    <w:rsid w:val="00BA3125"/>
    <w:rsid w:val="00BB4229"/>
    <w:rsid w:val="00BD508D"/>
    <w:rsid w:val="00BD6098"/>
    <w:rsid w:val="00BE7939"/>
    <w:rsid w:val="00C31400"/>
    <w:rsid w:val="00C40D11"/>
    <w:rsid w:val="00C512D8"/>
    <w:rsid w:val="00C70641"/>
    <w:rsid w:val="00C85565"/>
    <w:rsid w:val="00C8556B"/>
    <w:rsid w:val="00C85F12"/>
    <w:rsid w:val="00CC1AB9"/>
    <w:rsid w:val="00CD463E"/>
    <w:rsid w:val="00CD6FC6"/>
    <w:rsid w:val="00CE67D9"/>
    <w:rsid w:val="00D12509"/>
    <w:rsid w:val="00D12661"/>
    <w:rsid w:val="00D457DC"/>
    <w:rsid w:val="00D73F55"/>
    <w:rsid w:val="00D80BE0"/>
    <w:rsid w:val="00DC3E86"/>
    <w:rsid w:val="00E025F1"/>
    <w:rsid w:val="00E04036"/>
    <w:rsid w:val="00E249AB"/>
    <w:rsid w:val="00E42382"/>
    <w:rsid w:val="00EB5C65"/>
    <w:rsid w:val="00EC2043"/>
    <w:rsid w:val="00EF750C"/>
    <w:rsid w:val="00F068F8"/>
    <w:rsid w:val="00F26B7D"/>
    <w:rsid w:val="00F327BA"/>
    <w:rsid w:val="00F37541"/>
    <w:rsid w:val="00F62DE0"/>
    <w:rsid w:val="00F662A1"/>
    <w:rsid w:val="00F85F12"/>
    <w:rsid w:val="00FC34C7"/>
    <w:rsid w:val="00FD6693"/>
    <w:rsid w:val="00FE766B"/>
    <w:rsid w:val="00FF4E3F"/>
    <w:rsid w:val="00FF5BE7"/>
    <w:rsid w:val="058C3FF2"/>
    <w:rsid w:val="05E2B333"/>
    <w:rsid w:val="1D64B8DA"/>
    <w:rsid w:val="2DB9E491"/>
    <w:rsid w:val="59F6317E"/>
    <w:rsid w:val="6DEFE0CF"/>
    <w:rsid w:val="716B70DE"/>
    <w:rsid w:val="75F912F9"/>
    <w:rsid w:val="79DF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6558"/>
  <w15:chartTrackingRefBased/>
  <w15:docId w15:val="{EF6017D5-A881-4578-80AE-A00B75CD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897"/>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35897"/>
    <w:pPr>
      <w:autoSpaceDE w:val="0"/>
      <w:autoSpaceDN w:val="0"/>
      <w:adjustRightInd w:val="0"/>
    </w:pPr>
    <w:rPr>
      <w:rFonts w:ascii="Verdana" w:hAnsi="Verdana" w:cs="Verdana"/>
      <w:color w:val="000000"/>
      <w:sz w:val="24"/>
      <w:szCs w:val="24"/>
      <w:lang w:eastAsia="en-US"/>
    </w:rPr>
  </w:style>
  <w:style w:type="paragraph" w:styleId="BalloonText">
    <w:name w:val="Balloon Text"/>
    <w:basedOn w:val="Normal"/>
    <w:link w:val="BalloonTextChar"/>
    <w:uiPriority w:val="99"/>
    <w:semiHidden/>
    <w:unhideWhenUsed/>
    <w:rsid w:val="00B5161B"/>
    <w:rPr>
      <w:rFonts w:ascii="Tahoma" w:hAnsi="Tahoma" w:cs="Tahoma"/>
      <w:sz w:val="16"/>
      <w:szCs w:val="16"/>
    </w:rPr>
  </w:style>
  <w:style w:type="character" w:styleId="BalloonTextChar" w:customStyle="1">
    <w:name w:val="Balloon Text Char"/>
    <w:link w:val="BalloonText"/>
    <w:uiPriority w:val="99"/>
    <w:semiHidden/>
    <w:rsid w:val="00B5161B"/>
    <w:rPr>
      <w:rFonts w:ascii="Tahoma" w:hAnsi="Tahoma" w:eastAsia="Times New Roman" w:cs="Tahoma"/>
      <w:sz w:val="16"/>
      <w:szCs w:val="16"/>
      <w:lang w:eastAsia="en-US"/>
    </w:rPr>
  </w:style>
  <w:style w:type="character" w:styleId="Hyperlink">
    <w:name w:val="Hyperlink"/>
    <w:uiPriority w:val="99"/>
    <w:unhideWhenUsed/>
    <w:rsid w:val="005142CF"/>
    <w:rPr>
      <w:color w:val="0000FF"/>
      <w:u w:val="single"/>
    </w:rPr>
  </w:style>
  <w:style w:type="character" w:styleId="A2" w:customStyle="1">
    <w:name w:val="A2"/>
    <w:uiPriority w:val="99"/>
    <w:rsid w:val="004759E2"/>
    <w:rPr>
      <w:rFonts w:cs="Gotham Book"/>
      <w:color w:val="000000"/>
      <w:sz w:val="14"/>
      <w:szCs w:val="14"/>
    </w:rPr>
  </w:style>
  <w:style w:type="character" w:styleId="UnresolvedMention">
    <w:name w:val="Unresolved Mention"/>
    <w:basedOn w:val="DefaultParagraphFont"/>
    <w:uiPriority w:val="99"/>
    <w:semiHidden/>
    <w:unhideWhenUsed/>
    <w:rsid w:val="00FF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StollerHR@chethams.com"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1344EB64BA4498808993F9D899EC9" ma:contentTypeVersion="17" ma:contentTypeDescription="Create a new document." ma:contentTypeScope="" ma:versionID="410948334052a029aa3e2d120de11996">
  <xsd:schema xmlns:xsd="http://www.w3.org/2001/XMLSchema" xmlns:xs="http://www.w3.org/2001/XMLSchema" xmlns:p="http://schemas.microsoft.com/office/2006/metadata/properties" xmlns:ns2="8ad454b0-d0be-4e4c-be1d-8db609a20653" xmlns:ns3="860a67f6-d4e4-4176-9505-36c8203a9608" targetNamespace="http://schemas.microsoft.com/office/2006/metadata/properties" ma:root="true" ma:fieldsID="86c9fd7222e05bac18ba93e46995db54" ns2:_="" ns3:_="">
    <xsd:import namespace="8ad454b0-d0be-4e4c-be1d-8db609a20653"/>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454b0-d0be-4e4c-be1d-8db609a2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1a855-30a7-4f0c-862b-5989c2b80274" ma:termSetId="09814cd3-568e-fe90-9814-8d621ff8fb84" ma:anchorId="fba54fb3-c3e1-fe81-a776-ca4b69148c4d" ma:open="true" ma:isKeyword="false">
      <xsd:complexType>
        <xsd:sequence>
          <xsd:element ref="pc:Terms" minOccurs="0" maxOccurs="1"/>
        </xsd:sequence>
      </xsd:complexType>
    </xsd:element>
    <xsd:element name="Number" ma:index="23" nillable="true" ma:displayName="Number" ma:format="Dropdown" ma:internalName="Number" ma:percentage="FALSE">
      <xsd:simpleType>
        <xsd:restriction base="dms:Number"/>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bc22fd-8f11-4b56-af55-dc88be8e4d60}" ma:internalName="TaxCatchAll" ma:showField="CatchAllData" ma:web="860a67f6-d4e4-4176-9505-36c8203a9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0a67f6-d4e4-4176-9505-36c8203a9608" xsi:nil="true"/>
    <lcf76f155ced4ddcb4097134ff3c332f xmlns="8ad454b0-d0be-4e4c-be1d-8db609a20653">
      <Terms xmlns="http://schemas.microsoft.com/office/infopath/2007/PartnerControls"/>
    </lcf76f155ced4ddcb4097134ff3c332f>
    <Number xmlns="8ad454b0-d0be-4e4c-be1d-8db609a20653" xsi:nil="true"/>
  </documentManagement>
</p:properties>
</file>

<file path=customXml/itemProps1.xml><?xml version="1.0" encoding="utf-8"?>
<ds:datastoreItem xmlns:ds="http://schemas.openxmlformats.org/officeDocument/2006/customXml" ds:itemID="{ECF43463-AEC9-4AD2-BA65-6FB87898711C}"/>
</file>

<file path=customXml/itemProps2.xml><?xml version="1.0" encoding="utf-8"?>
<ds:datastoreItem xmlns:ds="http://schemas.openxmlformats.org/officeDocument/2006/customXml" ds:itemID="{AB8788DE-9258-4E64-B81A-4913A3D73221}">
  <ds:schemaRefs>
    <ds:schemaRef ds:uri="http://schemas.microsoft.com/sharepoint/v3/contenttype/forms"/>
  </ds:schemaRefs>
</ds:datastoreItem>
</file>

<file path=customXml/itemProps3.xml><?xml version="1.0" encoding="utf-8"?>
<ds:datastoreItem xmlns:ds="http://schemas.openxmlformats.org/officeDocument/2006/customXml" ds:itemID="{B8152CB5-3EA4-441E-A23A-F2E8E7B0E4F8}">
  <ds:schemaRefs>
    <ds:schemaRef ds:uri="http://schemas.microsoft.com/office/2006/metadata/properties"/>
    <ds:schemaRef ds:uri="http://schemas.microsoft.com/office/infopath/2007/PartnerControls"/>
    <ds:schemaRef ds:uri="860a67f6-d4e4-4176-9505-36c8203a9608"/>
    <ds:schemaRef ds:uri="8ad454b0-d0be-4e4c-be1d-8db609a206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Chetham's School of Music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mayeri</dc:creator>
  <keywords/>
  <lastModifiedBy>Alexandra McGaughrin Cross</lastModifiedBy>
  <revision>53</revision>
  <lastPrinted>2015-04-14T11:21:00.0000000Z</lastPrinted>
  <dcterms:created xsi:type="dcterms:W3CDTF">2021-10-05T12:41:00.0000000Z</dcterms:created>
  <dcterms:modified xsi:type="dcterms:W3CDTF">2023-09-11T13:33:45.2885426Z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0x0101002F41344EB64BA4498808993F9D899EC9</vt:lpwstr>
  </property>
  <property fmtid="{D5CDD505-2E9C-101B-9397-08002B2CF9AE}" pid="3" name="MediaServiceImageTags">
    <vt:lpwstr/>
  </property>
</Properties>
</file>